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D0" w:rsidRDefault="00734BD0">
      <w:pPr>
        <w:jc w:val="both"/>
        <w:rPr>
          <w:color w:val="000000"/>
          <w:sz w:val="28"/>
          <w:szCs w:val="28"/>
        </w:rPr>
      </w:pPr>
    </w:p>
    <w:p w:rsidR="00734BD0" w:rsidRDefault="001B0A3C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734BD0" w:rsidRDefault="001B0A3C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03.06.2024 г.</w:t>
      </w:r>
    </w:p>
    <w:p w:rsidR="00734BD0" w:rsidRDefault="001B0A3C">
      <w:pPr>
        <w:jc w:val="center"/>
      </w:pPr>
      <w:proofErr w:type="gramStart"/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  <w:proofErr w:type="gramEnd"/>
    </w:p>
    <w:p w:rsidR="00734BD0" w:rsidRDefault="001B0A3C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734BD0" w:rsidRDefault="001B0A3C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734BD0" w:rsidRDefault="00734BD0">
      <w:pPr>
        <w:outlineLvl w:val="0"/>
        <w:rPr>
          <w:color w:val="000000"/>
          <w:sz w:val="28"/>
          <w:szCs w:val="28"/>
        </w:rPr>
      </w:pPr>
    </w:p>
    <w:p w:rsidR="00734BD0" w:rsidRDefault="001B0A3C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734BD0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734BD0" w:rsidRDefault="001B0A3C">
            <w:pPr>
              <w:widowControl w:val="0"/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  3 июня местами по западу области сохранится </w:t>
            </w:r>
            <w:proofErr w:type="gramStart"/>
            <w:r>
              <w:rPr>
                <w:sz w:val="28"/>
                <w:szCs w:val="28"/>
              </w:rPr>
              <w:t>высокая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пожароопасность</w:t>
            </w:r>
            <w:proofErr w:type="spellEnd"/>
            <w:r>
              <w:rPr>
                <w:sz w:val="28"/>
                <w:szCs w:val="28"/>
              </w:rPr>
              <w:t xml:space="preserve"> (4 класса). 03.06 при прояснениях сохранятся заморозки на почве и в травостое до -1 </w:t>
            </w:r>
            <w:r w:rsidRPr="001B0A3C">
              <w:rPr>
                <w:sz w:val="28"/>
                <w:szCs w:val="28"/>
              </w:rPr>
              <w:t>°С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34BD0" w:rsidRDefault="00734BD0">
      <w:pPr>
        <w:jc w:val="both"/>
        <w:rPr>
          <w:sz w:val="22"/>
          <w:szCs w:val="22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734BD0" w:rsidRDefault="001B0A3C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Днём 01 июня и ночью 02 июня наблюдалась погода без осадков, днем и ночью в Северном отмечался небольшой дождь интенсивностью 0,1мм и 0,5мм соответственно. Ветер усиливался днем до 14 м/с, ночью до 9 м/с. Температура воздуха составила днём +15, +19</w:t>
      </w:r>
      <w:proofErr w:type="gramStart"/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 xml:space="preserve">, ночью +1, +7°С, местами отмечались заморозки до -1°С.  </w:t>
      </w:r>
    </w:p>
    <w:p w:rsidR="00734BD0" w:rsidRDefault="00734BD0">
      <w:pPr>
        <w:ind w:firstLine="567"/>
        <w:jc w:val="both"/>
        <w:rPr>
          <w:b/>
          <w:sz w:val="28"/>
          <w:szCs w:val="28"/>
        </w:rPr>
      </w:pPr>
    </w:p>
    <w:p w:rsidR="00734BD0" w:rsidRDefault="001B0A3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 w:rsidR="00734BD0" w:rsidRDefault="001B0A3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данным Службы МОС в г. Новосибирск за 31 мая превышений ПДК нет.</w:t>
      </w:r>
    </w:p>
    <w:p w:rsidR="00734BD0" w:rsidRDefault="00734BD0">
      <w:pPr>
        <w:ind w:firstLine="567"/>
        <w:jc w:val="both"/>
        <w:rPr>
          <w:b/>
          <w:sz w:val="28"/>
          <w:szCs w:val="28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1.3. Радиационная и химическая обстановка.</w:t>
      </w:r>
    </w:p>
    <w:p w:rsidR="00734BD0" w:rsidRDefault="001B0A3C">
      <w:pPr>
        <w:tabs>
          <w:tab w:val="left" w:pos="1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Обь,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Кольцово не зарегистрировано.</w:t>
      </w:r>
    </w:p>
    <w:p w:rsidR="00734BD0" w:rsidRDefault="00734BD0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734BD0" w:rsidRDefault="00734BD0">
      <w:pPr>
        <w:tabs>
          <w:tab w:val="left" w:pos="1690"/>
        </w:tabs>
        <w:ind w:firstLine="567"/>
        <w:jc w:val="both"/>
        <w:rPr>
          <w:b/>
          <w:sz w:val="28"/>
          <w:szCs w:val="28"/>
        </w:rPr>
      </w:pPr>
    </w:p>
    <w:p w:rsidR="00734BD0" w:rsidRDefault="001B0A3C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t>1.4. Гидрологическая обстановка.</w:t>
      </w:r>
    </w:p>
    <w:p w:rsidR="00734BD0" w:rsidRDefault="001B0A3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реках области в течение суток наблюдались незначительные изменения уровня воды.</w:t>
      </w:r>
    </w:p>
    <w:p w:rsidR="00734BD0" w:rsidRDefault="001B0A3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реке </w:t>
      </w:r>
      <w:proofErr w:type="spellStart"/>
      <w:r>
        <w:rPr>
          <w:sz w:val="28"/>
          <w:szCs w:val="28"/>
          <w:shd w:val="clear" w:color="auto" w:fill="FFFFFF"/>
        </w:rPr>
        <w:t>Тартас</w:t>
      </w:r>
      <w:proofErr w:type="spellEnd"/>
      <w:r>
        <w:rPr>
          <w:sz w:val="28"/>
          <w:szCs w:val="28"/>
          <w:shd w:val="clear" w:color="auto" w:fill="FFFFFF"/>
        </w:rPr>
        <w:t xml:space="preserve"> в районе </w:t>
      </w:r>
      <w:proofErr w:type="spellStart"/>
      <w:r>
        <w:rPr>
          <w:sz w:val="28"/>
          <w:szCs w:val="28"/>
          <w:shd w:val="clear" w:color="auto" w:fill="FFFFFF"/>
        </w:rPr>
        <w:t>н.п</w:t>
      </w:r>
      <w:proofErr w:type="spellEnd"/>
      <w:r>
        <w:rPr>
          <w:sz w:val="28"/>
          <w:szCs w:val="28"/>
          <w:shd w:val="clear" w:color="auto" w:fill="FFFFFF"/>
        </w:rPr>
        <w:t>. Венгерово уровень воды поднялся на 1 см и составил 613 см, при критической отметке 730 см.</w:t>
      </w:r>
    </w:p>
    <w:p w:rsidR="00734BD0" w:rsidRDefault="00734BD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734BD0" w:rsidRDefault="001B0A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112,25 м БС (Балтийской системы измерений), сброс составил 3620 м³/с, приток 4630 м³/с. Уровень воды в реке Обь находится на отметке 282 см.</w:t>
      </w:r>
    </w:p>
    <w:p w:rsidR="00734BD0" w:rsidRDefault="00734BD0">
      <w:pPr>
        <w:ind w:firstLine="567"/>
        <w:jc w:val="both"/>
        <w:rPr>
          <w:highlight w:val="yellow"/>
        </w:rPr>
      </w:pP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77"/>
        <w:gridCol w:w="1833"/>
        <w:gridCol w:w="1132"/>
        <w:gridCol w:w="1554"/>
        <w:gridCol w:w="1562"/>
        <w:gridCol w:w="1981"/>
      </w:tblGrid>
      <w:tr w:rsidR="00734BD0">
        <w:trPr>
          <w:trHeight w:val="124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bookmarkStart w:id="0" w:name="_Hlk130909852"/>
            <w:bookmarkEnd w:id="0"/>
            <w:r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Пункт</w:t>
            </w:r>
          </w:p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Критические</w:t>
            </w:r>
          </w:p>
          <w:p w:rsidR="00734BD0" w:rsidRDefault="001B0A3C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отметки</w:t>
            </w:r>
          </w:p>
          <w:p w:rsidR="00734BD0" w:rsidRDefault="001B0A3C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(</w:t>
            </w:r>
            <w:proofErr w:type="gramStart"/>
            <w:r>
              <w:rPr>
                <w:sz w:val="24"/>
                <w:szCs w:val="24"/>
                <w:lang w:eastAsia="ar-SA"/>
              </w:rPr>
              <w:t>см</w:t>
            </w:r>
            <w:proofErr w:type="gramEnd"/>
            <w:r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Уровень воды (</w:t>
            </w:r>
            <w:proofErr w:type="gramStart"/>
            <w:r>
              <w:rPr>
                <w:sz w:val="24"/>
                <w:szCs w:val="24"/>
                <w:lang w:eastAsia="ar-SA"/>
              </w:rPr>
              <w:t>см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) на 08.00 </w:t>
            </w:r>
            <w:proofErr w:type="spellStart"/>
            <w:r>
              <w:rPr>
                <w:sz w:val="24"/>
                <w:szCs w:val="24"/>
                <w:lang w:eastAsia="ar-SA"/>
              </w:rPr>
              <w:t>нск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02.06.2024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734BD0">
        <w:trPr>
          <w:trHeight w:val="21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proofErr w:type="spellStart"/>
            <w:proofErr w:type="gramStart"/>
            <w:r>
              <w:rPr>
                <w:sz w:val="24"/>
                <w:szCs w:val="24"/>
                <w:lang w:eastAsia="ar-SA"/>
              </w:rPr>
              <w:lastRenderedPageBreak/>
              <w:t>вдхр</w:t>
            </w:r>
            <w:proofErr w:type="spellEnd"/>
            <w:proofErr w:type="gram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proofErr w:type="spellStart"/>
            <w:r>
              <w:rPr>
                <w:sz w:val="24"/>
                <w:szCs w:val="24"/>
                <w:lang w:eastAsia="ar-SA"/>
              </w:rPr>
              <w:t>Спирино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546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34BD0">
        <w:trPr>
          <w:trHeight w:val="22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282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34BD0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 xml:space="preserve">р. </w:t>
            </w:r>
            <w:proofErr w:type="spellStart"/>
            <w:r>
              <w:rPr>
                <w:sz w:val="24"/>
                <w:szCs w:val="24"/>
                <w:lang w:eastAsia="ar-SA"/>
              </w:rPr>
              <w:t>Тартас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ind w:firstLine="39"/>
              <w:jc w:val="center"/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ind w:firstLine="39"/>
              <w:jc w:val="center"/>
            </w:pPr>
            <w:r>
              <w:rPr>
                <w:sz w:val="24"/>
                <w:szCs w:val="24"/>
              </w:rPr>
              <w:t>613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D0" w:rsidRDefault="001B0A3C">
            <w:pPr>
              <w:widowControl w:val="0"/>
              <w:jc w:val="center"/>
            </w:pPr>
            <w:r>
              <w:t>-</w:t>
            </w:r>
          </w:p>
        </w:tc>
      </w:tr>
    </w:tbl>
    <w:p w:rsidR="00734BD0" w:rsidRDefault="001B0A3C">
      <w:pPr>
        <w:ind w:firstLine="567"/>
        <w:jc w:val="both"/>
        <w:rPr>
          <w:bCs/>
          <w:highlight w:val="yellow"/>
        </w:rPr>
      </w:pPr>
      <w:r>
        <w:rPr>
          <w:bCs/>
          <w:sz w:val="28"/>
          <w:szCs w:val="28"/>
        </w:rPr>
        <w:t>По состоянию на 08:00 02 июня в СНТ «Елочка» Новосибирского района подтоплены 7 дачных участков (за сутки без изменений). Ведется мониторинг складывающейся обстановки.</w:t>
      </w:r>
    </w:p>
    <w:tbl>
      <w:tblPr>
        <w:tblW w:w="9763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2039"/>
        <w:gridCol w:w="2381"/>
        <w:gridCol w:w="2037"/>
        <w:gridCol w:w="2866"/>
      </w:tblGrid>
      <w:tr w:rsidR="00734BD0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734BD0">
        <w:trPr>
          <w:trHeight w:val="581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  <w:ind w:firstLine="57"/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  <w:ind w:left="-57"/>
              <w:jc w:val="center"/>
            </w:pPr>
            <w:r>
              <w:t>Новосибирский район</w:t>
            </w:r>
          </w:p>
          <w:p w:rsidR="00734BD0" w:rsidRDefault="001B0A3C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  <w:jc w:val="center"/>
            </w:pPr>
            <w:r>
              <w:t>дачных участков - 7</w:t>
            </w:r>
          </w:p>
          <w:p w:rsidR="00734BD0" w:rsidRDefault="001B0A3C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  <w:jc w:val="center"/>
            </w:pPr>
            <w:r>
              <w:t xml:space="preserve">Подъем грунтовых  вод в оз. </w:t>
            </w:r>
            <w:proofErr w:type="gramStart"/>
            <w:r>
              <w:t>Медвежье</w:t>
            </w:r>
            <w:proofErr w:type="gramEnd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</w:tbl>
    <w:p w:rsidR="00734BD0" w:rsidRDefault="00734BD0">
      <w:pPr>
        <w:tabs>
          <w:tab w:val="center" w:pos="4819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bCs/>
          <w:color w:val="000000"/>
          <w:sz w:val="28"/>
          <w:szCs w:val="28"/>
        </w:rPr>
        <w:t xml:space="preserve">1.5. </w:t>
      </w:r>
      <w:proofErr w:type="spellStart"/>
      <w:r>
        <w:rPr>
          <w:b/>
          <w:bCs/>
          <w:color w:val="000000"/>
          <w:sz w:val="28"/>
          <w:szCs w:val="28"/>
        </w:rPr>
        <w:t>Лесопожарная</w:t>
      </w:r>
      <w:proofErr w:type="spellEnd"/>
      <w:r>
        <w:rPr>
          <w:b/>
          <w:bCs/>
          <w:color w:val="000000"/>
          <w:sz w:val="28"/>
          <w:szCs w:val="28"/>
        </w:rPr>
        <w:t xml:space="preserve"> обстановка.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</w:t>
      </w:r>
      <w:proofErr w:type="spellStart"/>
      <w:r>
        <w:rPr>
          <w:sz w:val="28"/>
          <w:szCs w:val="28"/>
        </w:rPr>
        <w:t>Западно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Сибирское</w:t>
      </w:r>
      <w:proofErr w:type="gramEnd"/>
      <w:r>
        <w:rPr>
          <w:sz w:val="28"/>
          <w:szCs w:val="28"/>
        </w:rPr>
        <w:t xml:space="preserve"> УГМС» в Северном и </w:t>
      </w:r>
      <w:proofErr w:type="spellStart"/>
      <w:r>
        <w:rPr>
          <w:sz w:val="28"/>
          <w:szCs w:val="28"/>
        </w:rPr>
        <w:t>Чановском</w:t>
      </w:r>
      <w:proofErr w:type="spellEnd"/>
      <w:r>
        <w:rPr>
          <w:sz w:val="28"/>
          <w:szCs w:val="28"/>
        </w:rPr>
        <w:t xml:space="preserve"> районах установилась высокая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4 класса, на остальной территории области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преимущественно 3-го, местами 1-го и 2-го классов.</w:t>
      </w:r>
    </w:p>
    <w:p w:rsidR="00734BD0" w:rsidRDefault="001B0A3C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данным космического мониторинга за сутки на территории области зарегистрировано 4 термических точки (АППГ - 18), из них в 5-ти километровой зоне - 3 </w:t>
      </w:r>
      <w:proofErr w:type="gramStart"/>
      <w:r>
        <w:rPr>
          <w:bCs/>
          <w:iCs/>
          <w:sz w:val="28"/>
          <w:szCs w:val="28"/>
        </w:rPr>
        <w:t xml:space="preserve">( </w:t>
      </w:r>
      <w:proofErr w:type="gramEnd"/>
      <w:r>
        <w:rPr>
          <w:bCs/>
          <w:iCs/>
          <w:sz w:val="28"/>
          <w:szCs w:val="28"/>
        </w:rPr>
        <w:t>АППГ - 14). Ликвидировано - 3, не подтвердилось - 1. Угрозы населённым пунктам нет. Всего с начала года зарегистрировано - 656 термических точек (АППГ - 7157), из них в 5-ти километровой зоне - 535 (АППГ - 4460).</w:t>
      </w: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805"/>
        <w:gridCol w:w="905"/>
        <w:gridCol w:w="1118"/>
        <w:gridCol w:w="1077"/>
        <w:gridCol w:w="1028"/>
        <w:gridCol w:w="821"/>
        <w:gridCol w:w="849"/>
        <w:gridCol w:w="888"/>
        <w:gridCol w:w="705"/>
      </w:tblGrid>
      <w:tr w:rsidR="00734BD0">
        <w:trPr>
          <w:trHeight w:val="389"/>
          <w:jc w:val="center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№</w:t>
            </w:r>
          </w:p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33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nos"/>
                <w:bCs/>
              </w:rPr>
              <w:t>п</w:t>
            </w:r>
            <w:proofErr w:type="gramEnd"/>
            <w:r>
              <w:rPr>
                <w:rFonts w:cs="Tinos"/>
                <w:bCs/>
              </w:rPr>
              <w:t>/п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Наименование</w:t>
            </w:r>
          </w:p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 xml:space="preserve">Обнаружено термических точек </w:t>
            </w:r>
            <w:proofErr w:type="gramStart"/>
            <w:r>
              <w:rPr>
                <w:rFonts w:cs="Tinos"/>
                <w:bCs/>
              </w:rPr>
              <w:t>по</w:t>
            </w:r>
            <w:proofErr w:type="gramEnd"/>
          </w:p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nos"/>
                <w:bCs/>
              </w:rPr>
              <w:t>Подтвер-дились</w:t>
            </w:r>
            <w:proofErr w:type="spellEnd"/>
            <w:proofErr w:type="gramEnd"/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Плановый</w:t>
            </w:r>
          </w:p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 xml:space="preserve">Не </w:t>
            </w:r>
            <w:proofErr w:type="spellStart"/>
            <w:proofErr w:type="gramStart"/>
            <w:r>
              <w:rPr>
                <w:rFonts w:cs="Tinos"/>
                <w:bCs/>
              </w:rPr>
              <w:t>подтвер-дились</w:t>
            </w:r>
            <w:proofErr w:type="spellEnd"/>
            <w:proofErr w:type="gramEnd"/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Уровни</w:t>
            </w:r>
          </w:p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734BD0">
        <w:trPr>
          <w:trHeight w:val="374"/>
          <w:jc w:val="center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4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4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Нарастающим</w:t>
            </w:r>
          </w:p>
          <w:p w:rsidR="00734BD0" w:rsidRDefault="001B0A3C">
            <w:pPr>
              <w:widowControl w:val="0"/>
              <w:tabs>
                <w:tab w:val="left" w:pos="180"/>
              </w:tabs>
              <w:ind w:left="-102" w:right="-108" w:hanging="64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</w:tr>
      <w:tr w:rsidR="00734BD0">
        <w:trPr>
          <w:trHeight w:val="434"/>
          <w:jc w:val="center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7" w:hanging="65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7" w:firstLine="3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 xml:space="preserve">из них </w:t>
            </w:r>
            <w:proofErr w:type="gramStart"/>
            <w:r>
              <w:rPr>
                <w:rFonts w:cs="Tinos"/>
                <w:bCs/>
              </w:rPr>
              <w:t>в</w:t>
            </w:r>
            <w:proofErr w:type="gramEnd"/>
          </w:p>
          <w:p w:rsidR="00734BD0" w:rsidRDefault="001B0A3C">
            <w:pPr>
              <w:widowControl w:val="0"/>
              <w:tabs>
                <w:tab w:val="left" w:pos="-99"/>
              </w:tabs>
              <w:ind w:left="-102" w:right="-107" w:firstLine="3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7" w:hanging="7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tabs>
                <w:tab w:val="left" w:pos="180"/>
              </w:tabs>
              <w:ind w:left="-102" w:right="-107" w:hanging="8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 xml:space="preserve">из них </w:t>
            </w:r>
            <w:proofErr w:type="gramStart"/>
            <w:r>
              <w:rPr>
                <w:rFonts w:cs="Tinos"/>
                <w:bCs/>
              </w:rPr>
              <w:t>в</w:t>
            </w:r>
            <w:proofErr w:type="gramEnd"/>
          </w:p>
          <w:p w:rsidR="00734BD0" w:rsidRDefault="001B0A3C">
            <w:pPr>
              <w:widowControl w:val="0"/>
              <w:tabs>
                <w:tab w:val="left" w:pos="180"/>
              </w:tabs>
              <w:ind w:left="-102" w:right="-107" w:hanging="8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suppressAutoHyphens w:val="0"/>
              <w:rPr>
                <w:rFonts w:eastAsia="DejaVu Sans"/>
                <w:color w:val="000000"/>
                <w:sz w:val="24"/>
                <w:szCs w:val="24"/>
              </w:rPr>
            </w:pPr>
          </w:p>
        </w:tc>
      </w:tr>
      <w:tr w:rsidR="00734BD0">
        <w:trPr>
          <w:trHeight w:val="22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1.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Новосибирский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21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734BD0">
        <w:trPr>
          <w:trHeight w:val="21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2.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Ордынский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734BD0">
        <w:trPr>
          <w:trHeight w:val="20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3.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nos"/>
                <w:bCs/>
              </w:rPr>
              <w:t>Черепановский</w:t>
            </w:r>
            <w:proofErr w:type="spell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28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734BD0">
        <w:trPr>
          <w:trHeight w:val="206"/>
          <w:jc w:val="center"/>
        </w:trPr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Cs w:val="24"/>
              </w:rPr>
            </w:pPr>
            <w:r>
              <w:t>4.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 w:cs="Tinos"/>
                <w:bCs/>
                <w:color w:val="000000"/>
              </w:rPr>
            </w:pPr>
            <w:proofErr w:type="spellStart"/>
            <w:r>
              <w:rPr>
                <w:rFonts w:cs="Tinos"/>
                <w:bCs/>
              </w:rPr>
              <w:t>Кочковский</w:t>
            </w:r>
            <w:proofErr w:type="spellEnd"/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Cs w:val="24"/>
              </w:rPr>
            </w:pPr>
            <w:r>
              <w:t>1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Cs w:val="24"/>
              </w:rPr>
            </w:pPr>
            <w: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</w:rPr>
            </w:pPr>
            <w:r>
              <w:t>6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</w:rPr>
            </w:pPr>
            <w:r>
              <w:t>4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Cs w:val="24"/>
              </w:rPr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Cs w:val="24"/>
              </w:rPr>
            </w:pPr>
            <w:r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Cs w:val="24"/>
              </w:rPr>
            </w:pPr>
            <w: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4BD0" w:rsidRDefault="00734BD0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Cs w:val="24"/>
              </w:rPr>
            </w:pPr>
          </w:p>
        </w:tc>
      </w:tr>
      <w:tr w:rsidR="00734BD0">
        <w:trPr>
          <w:trHeight w:val="33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734BD0">
            <w:pPr>
              <w:widowControl w:val="0"/>
              <w:ind w:firstLine="567"/>
              <w:jc w:val="center"/>
              <w:rPr>
                <w:rFonts w:eastAsia="DejaVu Sans" w:cs="Tinos"/>
                <w:bCs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/>
                <w:bCs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/>
                <w:bCs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/>
                <w:bCs/>
              </w:rPr>
              <w:t>656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/>
                <w:bCs/>
              </w:rPr>
              <w:t>535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/>
                <w:bCs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Default="001B0A3C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34BD0" w:rsidRDefault="001B0A3C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 сутки лесные пожары не зарегистрированы. Действующих нет.</w:t>
      </w:r>
    </w:p>
    <w:p w:rsidR="00734BD0" w:rsidRDefault="001B0A3C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проводило </w:t>
      </w:r>
      <w:proofErr w:type="spellStart"/>
      <w:r>
        <w:rPr>
          <w:bCs/>
          <w:iCs/>
          <w:sz w:val="28"/>
          <w:szCs w:val="28"/>
        </w:rPr>
        <w:t>авиамониторинг</w:t>
      </w:r>
      <w:proofErr w:type="spellEnd"/>
      <w:r>
        <w:rPr>
          <w:bCs/>
          <w:iCs/>
          <w:sz w:val="28"/>
          <w:szCs w:val="28"/>
        </w:rPr>
        <w:t xml:space="preserve"> территории области по маршруту №1,2.</w:t>
      </w:r>
    </w:p>
    <w:p w:rsidR="00734BD0" w:rsidRDefault="00734BD0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  <w:highlight w:val="yellow"/>
        </w:rPr>
      </w:pPr>
    </w:p>
    <w:p w:rsidR="00734BD0" w:rsidRDefault="001B0A3C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734BD0" w:rsidRDefault="001B0A3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734BD0" w:rsidRDefault="00734BD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734BD0" w:rsidRDefault="001B0A3C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Стабильная.</w:t>
      </w:r>
    </w:p>
    <w:p w:rsidR="00734BD0" w:rsidRDefault="00734BD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734BD0" w:rsidRDefault="00734BD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color w:val="000000"/>
          <w:sz w:val="28"/>
          <w:szCs w:val="28"/>
        </w:rPr>
        <w:lastRenderedPageBreak/>
        <w:t>1.9. Эпизоотическая обстановка.</w:t>
      </w:r>
    </w:p>
    <w:p w:rsidR="00734BD0" w:rsidRDefault="001B0A3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734BD0" w:rsidRDefault="00734BD0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1.10. Пожарная обстановка.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зарегистрировано 27 пожаров (в жилом секторе 9), в результате которых 1 человек погиб и 2 человека травмировано. Причины пожаров, виновные лица и материальный ущерб устанавливаются.</w:t>
      </w:r>
    </w:p>
    <w:p w:rsidR="00734BD0" w:rsidRDefault="00734BD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734BD0" w:rsidRDefault="001B0A3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734BD0" w:rsidRDefault="00734BD0">
      <w:pPr>
        <w:ind w:firstLine="567"/>
        <w:jc w:val="both"/>
        <w:rPr>
          <w:b/>
          <w:color w:val="000000"/>
          <w:sz w:val="28"/>
          <w:szCs w:val="28"/>
        </w:rPr>
      </w:pPr>
    </w:p>
    <w:p w:rsidR="00734BD0" w:rsidRDefault="001B0A3C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734BD0" w:rsidRDefault="00734BD0">
      <w:pPr>
        <w:jc w:val="both"/>
        <w:rPr>
          <w:b/>
          <w:color w:val="000000"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1.13. Обстановка на водных объектах.</w:t>
      </w:r>
    </w:p>
    <w:p w:rsidR="00734BD0" w:rsidRDefault="001B0A3C">
      <w:pPr>
        <w:ind w:firstLine="567"/>
        <w:jc w:val="both"/>
        <w:rPr>
          <w:highlight w:val="yellow"/>
        </w:rPr>
      </w:pPr>
      <w:r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734BD0" w:rsidRDefault="00734BD0">
      <w:pPr>
        <w:ind w:firstLine="567"/>
        <w:jc w:val="both"/>
        <w:rPr>
          <w:b/>
          <w:sz w:val="28"/>
          <w:szCs w:val="28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1.14. Обстановка на дорогах.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bookmarkStart w:id="1" w:name="_Hlk133589652"/>
      <w:r>
        <w:rPr>
          <w:sz w:val="28"/>
          <w:szCs w:val="28"/>
        </w:rPr>
        <w:t>На дорогах области за прошедшие сутки зарегистрировано 7 ДТП, в результате которых 3 человека погибло, 6 человек травмировано.</w:t>
      </w:r>
    </w:p>
    <w:p w:rsidR="00734BD0" w:rsidRDefault="001B0A3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08:00 02 июня на контроле остается 1 перелив через автомобильную дорогу местного значения в </w:t>
      </w:r>
      <w:proofErr w:type="spellStart"/>
      <w:r>
        <w:rPr>
          <w:bCs/>
          <w:sz w:val="28"/>
          <w:szCs w:val="28"/>
        </w:rPr>
        <w:t>Кыштовском</w:t>
      </w:r>
      <w:proofErr w:type="spellEnd"/>
      <w:r>
        <w:rPr>
          <w:bCs/>
          <w:sz w:val="28"/>
          <w:szCs w:val="28"/>
        </w:rPr>
        <w:t xml:space="preserve"> районе. Сотрудниками ДРСУ организован мониторинг, выставлены предупреждающие знаки. Работы по восстановлению спланированы.</w:t>
      </w:r>
    </w:p>
    <w:p w:rsidR="00734BD0" w:rsidRDefault="00734BD0">
      <w:pPr>
        <w:ind w:firstLine="567"/>
        <w:jc w:val="both"/>
        <w:rPr>
          <w:b/>
          <w:color w:val="000000"/>
          <w:sz w:val="28"/>
          <w:szCs w:val="28"/>
        </w:rPr>
      </w:pPr>
    </w:p>
    <w:p w:rsidR="00734BD0" w:rsidRDefault="001B0A3C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734BD0" w:rsidRDefault="001B0A3C">
      <w:pPr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Переменная облачность, местами кратковременные дожди, грозы. </w:t>
      </w:r>
    </w:p>
    <w:p w:rsidR="00734BD0" w:rsidRDefault="001B0A3C">
      <w:pPr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Ветер ночью</w:t>
      </w:r>
      <w:r>
        <w:t xml:space="preserve"> </w:t>
      </w:r>
      <w:r>
        <w:rPr>
          <w:sz w:val="28"/>
          <w:szCs w:val="28"/>
          <w:lang w:eastAsia="ru-RU"/>
        </w:rPr>
        <w:t>восточный 2-7 м/с,</w:t>
      </w:r>
      <w:r>
        <w:t xml:space="preserve"> </w:t>
      </w:r>
      <w:r>
        <w:rPr>
          <w:sz w:val="28"/>
          <w:szCs w:val="28"/>
          <w:lang w:eastAsia="ru-RU"/>
        </w:rPr>
        <w:t>местами порывы до 13м/с, днём южный 4-9 м/с, местами порывы до 14 м/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 xml:space="preserve">. </w:t>
      </w:r>
    </w:p>
    <w:p w:rsidR="00734BD0" w:rsidRDefault="001B0A3C">
      <w:pPr>
        <w:ind w:firstLine="567"/>
      </w:pPr>
      <w:r>
        <w:rPr>
          <w:sz w:val="28"/>
          <w:szCs w:val="28"/>
          <w:lang w:eastAsia="ru-RU"/>
        </w:rPr>
        <w:t>Температура воздуха ночью +5, +10</w:t>
      </w:r>
      <w:proofErr w:type="gramStart"/>
      <w:r>
        <w:rPr>
          <w:sz w:val="28"/>
          <w:szCs w:val="28"/>
          <w:lang w:eastAsia="ru-RU"/>
        </w:rPr>
        <w:t>°С</w:t>
      </w:r>
      <w:proofErr w:type="gramEnd"/>
      <w:r>
        <w:rPr>
          <w:sz w:val="28"/>
          <w:szCs w:val="28"/>
          <w:lang w:eastAsia="ru-RU"/>
        </w:rPr>
        <w:t>, местами на почве заморозки до -1°С, днём +17, +22 °С.</w:t>
      </w:r>
    </w:p>
    <w:p w:rsidR="00734BD0" w:rsidRDefault="00734BD0">
      <w:pPr>
        <w:ind w:firstLine="567"/>
        <w:jc w:val="both"/>
        <w:rPr>
          <w:b/>
          <w:sz w:val="28"/>
          <w:szCs w:val="28"/>
        </w:rPr>
      </w:pPr>
    </w:p>
    <w:p w:rsidR="00734BD0" w:rsidRDefault="001B0A3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 w:rsidR="00734BD0" w:rsidRDefault="001B0A3C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  <w:r>
        <w:t xml:space="preserve"> </w:t>
      </w:r>
      <w:r>
        <w:rPr>
          <w:sz w:val="28"/>
          <w:szCs w:val="28"/>
          <w:lang w:eastAsia="ru-RU"/>
        </w:rPr>
        <w:t>В отдельных районах ожидается повышенное содержание пыли (взвешенных веществ).</w:t>
      </w:r>
    </w:p>
    <w:p w:rsidR="00734BD0" w:rsidRDefault="00734BD0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2.3. Прогноз гидрологической обстановки.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ближайшие сутки возможен незначительный подъем уровня воды в реке </w:t>
      </w:r>
      <w:proofErr w:type="spellStart"/>
      <w:r>
        <w:rPr>
          <w:sz w:val="28"/>
          <w:szCs w:val="28"/>
        </w:rPr>
        <w:t>Тартас</w:t>
      </w:r>
      <w:proofErr w:type="spellEnd"/>
      <w:r>
        <w:rPr>
          <w:sz w:val="28"/>
          <w:szCs w:val="28"/>
        </w:rPr>
        <w:t xml:space="preserve">, достижение критических отметок маловероятно. </w:t>
      </w:r>
    </w:p>
    <w:p w:rsidR="00734BD0" w:rsidRDefault="001B0A3C">
      <w:pPr>
        <w:ind w:firstLine="567"/>
        <w:jc w:val="both"/>
      </w:pPr>
      <w:r>
        <w:rPr>
          <w:sz w:val="28"/>
          <w:szCs w:val="28"/>
        </w:rPr>
        <w:lastRenderedPageBreak/>
        <w:t>Сбросы в нижний бьеф с Новосибирского водохранилища планируются 3600±100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уровень воды в р. Обь ожидается в пределах 280</w:t>
      </w:r>
      <w:r>
        <w:rPr>
          <w:sz w:val="28"/>
          <w:szCs w:val="28"/>
          <w:u w:val="single"/>
        </w:rPr>
        <w:t>+</w:t>
      </w:r>
      <w:r>
        <w:rPr>
          <w:sz w:val="28"/>
          <w:szCs w:val="28"/>
        </w:rPr>
        <w:t>10см.</w:t>
      </w:r>
    </w:p>
    <w:p w:rsidR="00734BD0" w:rsidRDefault="00734BD0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734BD0" w:rsidRDefault="001B0A3C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2.4. Прогноз геомагнитной обстановки.</w:t>
      </w:r>
    </w:p>
    <w:p w:rsidR="00734BD0" w:rsidRDefault="001B0A3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выше нормы.</w:t>
      </w:r>
    </w:p>
    <w:p w:rsidR="00734BD0" w:rsidRDefault="00734BD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734BD0" w:rsidRDefault="001B0A3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 </w:t>
      </w:r>
      <w:proofErr w:type="spellStart"/>
      <w:r>
        <w:rPr>
          <w:b/>
          <w:sz w:val="28"/>
          <w:szCs w:val="28"/>
        </w:rPr>
        <w:t>лесопожарной</w:t>
      </w:r>
      <w:proofErr w:type="spellEnd"/>
      <w:r>
        <w:rPr>
          <w:b/>
          <w:sz w:val="28"/>
          <w:szCs w:val="28"/>
        </w:rPr>
        <w:t xml:space="preserve"> обстановки.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</w:t>
      </w:r>
      <w:proofErr w:type="spellStart"/>
      <w:r>
        <w:rPr>
          <w:sz w:val="28"/>
          <w:szCs w:val="28"/>
        </w:rPr>
        <w:t>Западно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Сибирское</w:t>
      </w:r>
      <w:proofErr w:type="gramEnd"/>
      <w:r>
        <w:rPr>
          <w:sz w:val="28"/>
          <w:szCs w:val="28"/>
        </w:rPr>
        <w:t xml:space="preserve"> УГМС» на территории 5 районов Новосибирской области (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, Северного,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, Куйбышевского 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) сохранится высокая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4 класса, на остальной территории области ожидается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преимущественно 3-го, местами 2-го класса.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территории НСО возможно возникновение лесных и ландшафтных пожаров с риском перехода на населенные пункты, с наибольшей вероятностью в районах с высокой </w:t>
      </w:r>
      <w:proofErr w:type="spellStart"/>
      <w:r>
        <w:rPr>
          <w:sz w:val="28"/>
          <w:szCs w:val="28"/>
        </w:rPr>
        <w:t>пожароопасностью</w:t>
      </w:r>
      <w:proofErr w:type="spellEnd"/>
      <w:r>
        <w:rPr>
          <w:sz w:val="28"/>
          <w:szCs w:val="28"/>
        </w:rPr>
        <w:t xml:space="preserve"> 4 класса.</w:t>
      </w:r>
      <w:proofErr w:type="gramEnd"/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734BD0" w:rsidRDefault="00734BD0">
      <w:pPr>
        <w:ind w:firstLine="567"/>
        <w:jc w:val="both"/>
        <w:rPr>
          <w:sz w:val="28"/>
          <w:szCs w:val="28"/>
          <w:highlight w:val="yellow"/>
        </w:rPr>
      </w:pPr>
    </w:p>
    <w:p w:rsidR="00734BD0" w:rsidRDefault="001B0A3C">
      <w:pPr>
        <w:ind w:firstLine="567"/>
      </w:pPr>
      <w:r>
        <w:rPr>
          <w:b/>
          <w:sz w:val="28"/>
          <w:szCs w:val="28"/>
        </w:rPr>
        <w:t>2.6. Прогноз сейсмической обстановки.</w:t>
      </w:r>
    </w:p>
    <w:p w:rsidR="00734BD0" w:rsidRDefault="001B0A3C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734BD0" w:rsidRDefault="00734BD0">
      <w:pPr>
        <w:ind w:firstLine="567"/>
        <w:rPr>
          <w:b/>
          <w:sz w:val="28"/>
          <w:szCs w:val="28"/>
        </w:rPr>
      </w:pPr>
    </w:p>
    <w:p w:rsidR="00734BD0" w:rsidRDefault="001B0A3C">
      <w:pPr>
        <w:ind w:firstLine="567"/>
      </w:pPr>
      <w:r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734BD0" w:rsidRDefault="001B0A3C">
      <w:pPr>
        <w:ind w:firstLine="567"/>
        <w:jc w:val="both"/>
      </w:pPr>
      <w:r>
        <w:rPr>
          <w:sz w:val="28"/>
          <w:szCs w:val="28"/>
        </w:rPr>
        <w:t>Возникновение ЧС маловероятно.</w:t>
      </w:r>
    </w:p>
    <w:p w:rsidR="00734BD0" w:rsidRDefault="001B0A3C">
      <w:pPr>
        <w:ind w:firstLine="567"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734BD0" w:rsidRDefault="001B0A3C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Новосибирской области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</w:t>
      </w:r>
      <w:proofErr w:type="spellStart"/>
      <w:r>
        <w:rPr>
          <w:sz w:val="28"/>
          <w:szCs w:val="28"/>
          <w:lang w:eastAsia="ar-SA"/>
        </w:rPr>
        <w:t>Барабинский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Болотнинский</w:t>
      </w:r>
      <w:proofErr w:type="spellEnd"/>
      <w:r>
        <w:rPr>
          <w:sz w:val="28"/>
          <w:szCs w:val="28"/>
          <w:lang w:eastAsia="ar-SA"/>
        </w:rPr>
        <w:t xml:space="preserve">, Венгеровский, </w:t>
      </w:r>
      <w:proofErr w:type="spellStart"/>
      <w:r>
        <w:rPr>
          <w:sz w:val="28"/>
          <w:szCs w:val="28"/>
          <w:lang w:eastAsia="ar-SA"/>
        </w:rPr>
        <w:t>Искитимский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Колыванский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Коченевский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Кыштовский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Маслянинский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Мошковский</w:t>
      </w:r>
      <w:proofErr w:type="spellEnd"/>
      <w:r>
        <w:rPr>
          <w:sz w:val="28"/>
          <w:szCs w:val="28"/>
          <w:lang w:eastAsia="ar-SA"/>
        </w:rPr>
        <w:t xml:space="preserve">, Новосибирский, Ордынский, Северный, </w:t>
      </w:r>
      <w:proofErr w:type="spellStart"/>
      <w:r>
        <w:rPr>
          <w:sz w:val="28"/>
          <w:szCs w:val="28"/>
          <w:lang w:eastAsia="ar-SA"/>
        </w:rPr>
        <w:t>Сузунский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Тогучинский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Черепановский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Краснозерский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Усть-Таркский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Барабинский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Каргатский</w:t>
      </w:r>
      <w:proofErr w:type="spellEnd"/>
      <w:r>
        <w:rPr>
          <w:sz w:val="28"/>
          <w:szCs w:val="28"/>
          <w:lang w:eastAsia="ar-SA"/>
        </w:rPr>
        <w:t xml:space="preserve"> и </w:t>
      </w:r>
      <w:proofErr w:type="spellStart"/>
      <w:r>
        <w:rPr>
          <w:sz w:val="28"/>
          <w:szCs w:val="28"/>
          <w:lang w:eastAsia="ar-SA"/>
        </w:rPr>
        <w:t>Чулымский</w:t>
      </w:r>
      <w:proofErr w:type="spellEnd"/>
      <w:r>
        <w:rPr>
          <w:sz w:val="28"/>
          <w:szCs w:val="28"/>
          <w:lang w:eastAsia="ar-SA"/>
        </w:rPr>
        <w:t>) и 3 города (Бердск, Новосибирск, Обь).</w:t>
      </w:r>
    </w:p>
    <w:p w:rsidR="00734BD0" w:rsidRDefault="00734BD0">
      <w:pPr>
        <w:ind w:firstLine="567"/>
        <w:jc w:val="both"/>
        <w:rPr>
          <w:b/>
          <w:sz w:val="28"/>
          <w:szCs w:val="28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2.8. Прогноз эпизоотической обстановки.</w:t>
      </w:r>
    </w:p>
    <w:p w:rsidR="00734BD0" w:rsidRDefault="001B0A3C">
      <w:pPr>
        <w:ind w:firstLine="567"/>
        <w:jc w:val="both"/>
        <w:rPr>
          <w:highlight w:val="yellow"/>
        </w:rPr>
      </w:pPr>
      <w:r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734BD0" w:rsidRDefault="00734BD0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734BD0" w:rsidRDefault="001B0A3C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2.9. Прогноз пожарной обстановки.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</w:t>
      </w:r>
      <w:r>
        <w:rPr>
          <w:sz w:val="28"/>
          <w:szCs w:val="28"/>
        </w:rPr>
        <w:lastRenderedPageBreak/>
        <w:t>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электропроводки,</w:t>
      </w:r>
    </w:p>
    <w:p w:rsidR="00734BD0" w:rsidRDefault="001B0A3C">
      <w:pPr>
        <w:ind w:firstLine="567"/>
        <w:jc w:val="both"/>
      </w:pPr>
      <w:bookmarkStart w:id="9" w:name="_Hlk152942468"/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734BD0" w:rsidRDefault="00734BD0">
      <w:pPr>
        <w:jc w:val="both"/>
        <w:rPr>
          <w:b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2.10. Прогноз обстановки на объектах энергетики.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возникновения аварий на объектах энергетики, способных привести к ЧС выше муниципального уровня, маловероятен. </w:t>
      </w:r>
      <w:bookmarkStart w:id="10" w:name="_Hlk163747381"/>
      <w:bookmarkEnd w:id="10"/>
    </w:p>
    <w:p w:rsidR="00734BD0" w:rsidRDefault="00734BD0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734BD0" w:rsidRDefault="001B0A3C">
      <w:pPr>
        <w:ind w:firstLine="567"/>
        <w:jc w:val="both"/>
        <w:rPr>
          <w:sz w:val="28"/>
          <w:szCs w:val="28"/>
        </w:rPr>
      </w:pPr>
      <w:bookmarkStart w:id="12" w:name="_Hlk103078903"/>
      <w:r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Бердск, Куйбышев, Новосибирский, 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Краснозерский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, Ордынский и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районы Новосибирской области.</w:t>
      </w:r>
    </w:p>
    <w:p w:rsidR="00734BD0" w:rsidRDefault="00734BD0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2.12. Прогноз происшествий на водных объектах</w:t>
      </w:r>
      <w:bookmarkEnd w:id="11"/>
      <w:r>
        <w:rPr>
          <w:b/>
          <w:sz w:val="28"/>
          <w:szCs w:val="28"/>
        </w:rPr>
        <w:t>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Сохраняется риск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</w:t>
      </w:r>
      <w:proofErr w:type="spellStart"/>
      <w:r>
        <w:rPr>
          <w:sz w:val="28"/>
          <w:szCs w:val="28"/>
        </w:rPr>
        <w:t>Бердь</w:t>
      </w:r>
      <w:proofErr w:type="spellEnd"/>
      <w:r>
        <w:rPr>
          <w:sz w:val="28"/>
          <w:szCs w:val="28"/>
        </w:rPr>
        <w:t xml:space="preserve">, Иня, </w:t>
      </w:r>
      <w:proofErr w:type="spellStart"/>
      <w:r>
        <w:rPr>
          <w:sz w:val="28"/>
          <w:szCs w:val="28"/>
        </w:rPr>
        <w:t>Омь</w:t>
      </w:r>
      <w:proofErr w:type="spellEnd"/>
      <w:r>
        <w:rPr>
          <w:sz w:val="28"/>
          <w:szCs w:val="28"/>
        </w:rPr>
        <w:t xml:space="preserve">, озерах Чаны, Медвежье, </w:t>
      </w:r>
      <w:proofErr w:type="spellStart"/>
      <w:r>
        <w:rPr>
          <w:sz w:val="28"/>
          <w:szCs w:val="28"/>
        </w:rPr>
        <w:t>Урюм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Сартлан</w:t>
      </w:r>
      <w:proofErr w:type="spellEnd"/>
      <w:r>
        <w:rPr>
          <w:sz w:val="28"/>
          <w:szCs w:val="28"/>
        </w:rPr>
        <w:t>.</w:t>
      </w:r>
      <w:proofErr w:type="gramEnd"/>
    </w:p>
    <w:p w:rsidR="00734BD0" w:rsidRDefault="00734BD0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Default="001B0A3C">
      <w:pPr>
        <w:ind w:firstLine="567"/>
        <w:jc w:val="both"/>
      </w:pPr>
      <w:r>
        <w:rPr>
          <w:b/>
          <w:sz w:val="28"/>
          <w:szCs w:val="28"/>
        </w:rPr>
        <w:t>2.13. Прогноз обстановки на дорогах.</w:t>
      </w:r>
    </w:p>
    <w:p w:rsidR="00734BD0" w:rsidRDefault="001B0A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теплотрасс, затруднения работы всех видов транспорта будет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</w:t>
      </w:r>
      <w:proofErr w:type="gramEnd"/>
      <w:r>
        <w:rPr>
          <w:sz w:val="28"/>
          <w:szCs w:val="28"/>
        </w:rPr>
        <w:t xml:space="preserve">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 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0,765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0,413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2,012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</w:t>
      </w:r>
      <w:proofErr w:type="spellStart"/>
      <w:r>
        <w:rPr>
          <w:color w:val="000000"/>
          <w:sz w:val="28"/>
          <w:szCs w:val="28"/>
        </w:rPr>
        <w:t>Черепановский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1,678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1,073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0,779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1,641км,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1,370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1,443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1,649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1,350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1,945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0,677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1,270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1,650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0,757 км, крутой спуск (подъём)).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 xml:space="preserve">- К-19р - с 44 по 46 км </w:t>
      </w:r>
      <w:proofErr w:type="spellStart"/>
      <w:r>
        <w:rPr>
          <w:color w:val="000000"/>
          <w:sz w:val="28"/>
          <w:szCs w:val="28"/>
        </w:rPr>
        <w:t>Тогучинского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 xml:space="preserve">- К-12 – с 16 по 25 км </w:t>
      </w:r>
      <w:proofErr w:type="spellStart"/>
      <w:r>
        <w:rPr>
          <w:color w:val="000000"/>
          <w:sz w:val="28"/>
          <w:szCs w:val="28"/>
        </w:rPr>
        <w:t>Колыванского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734BD0" w:rsidRDefault="001B0A3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 затруднение движения автотранспорта по дорогам местного значения, в том числе из-за переливов и подмывов дорожного полотна, особенно в северных районах области. </w:t>
      </w:r>
    </w:p>
    <w:p w:rsidR="00734BD0" w:rsidRDefault="00734BD0">
      <w:pPr>
        <w:jc w:val="both"/>
        <w:rPr>
          <w:b/>
          <w:bCs/>
          <w:color w:val="000000"/>
          <w:sz w:val="28"/>
          <w:szCs w:val="28"/>
        </w:rPr>
      </w:pPr>
      <w:bookmarkStart w:id="14" w:name="_GoBack"/>
      <w:bookmarkEnd w:id="13"/>
      <w:bookmarkEnd w:id="14"/>
    </w:p>
    <w:sectPr w:rsidR="00734BD0">
      <w:headerReference w:type="default" r:id="rId9"/>
      <w:pgSz w:w="11906" w:h="16838"/>
      <w:pgMar w:top="1134" w:right="567" w:bottom="709" w:left="1701" w:header="284" w:footer="0" w:gutter="0"/>
      <w:cols w:space="720"/>
      <w:formProt w:val="0"/>
      <w:titlePg/>
      <w:docGrid w:linePitch="360" w:charSpace="901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FB" w:rsidRDefault="00D17FFB">
      <w:r>
        <w:separator/>
      </w:r>
    </w:p>
  </w:endnote>
  <w:endnote w:type="continuationSeparator" w:id="0">
    <w:p w:rsidR="00D17FFB" w:rsidRDefault="00D1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charset w:val="00"/>
    <w:family w:val="roman"/>
    <w:pitch w:val="default"/>
    <w:sig w:usb0="E0000AFF" w:usb1="500078FF" w:usb2="00000029" w:usb3="00000000" w:csb0="600001BF" w:csb1="DFF7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FB" w:rsidRDefault="00D17FFB">
      <w:r>
        <w:separator/>
      </w:r>
    </w:p>
  </w:footnote>
  <w:footnote w:type="continuationSeparator" w:id="0">
    <w:p w:rsidR="00D17FFB" w:rsidRDefault="00D17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D0" w:rsidRDefault="001B0A3C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C5AE8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35BA"/>
    <w:multiLevelType w:val="multilevel"/>
    <w:tmpl w:val="A262362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>
    <w:nsid w:val="3F927F75"/>
    <w:multiLevelType w:val="multilevel"/>
    <w:tmpl w:val="ED546A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49324A"/>
    <w:multiLevelType w:val="multilevel"/>
    <w:tmpl w:val="0BB46CA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E39FA"/>
    <w:multiLevelType w:val="multilevel"/>
    <w:tmpl w:val="BED0B9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D0"/>
    <w:rsid w:val="001B0A3C"/>
    <w:rsid w:val="00734BD0"/>
    <w:rsid w:val="009C5AE8"/>
    <w:rsid w:val="00C528AE"/>
    <w:rsid w:val="00C766A1"/>
    <w:rsid w:val="00D17FFB"/>
    <w:rsid w:val="00E5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752B-9DCC-4BC8-9D4E-46AF349E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3</cp:revision>
  <dcterms:created xsi:type="dcterms:W3CDTF">2024-06-03T04:55:00Z</dcterms:created>
  <dcterms:modified xsi:type="dcterms:W3CDTF">2024-06-03T05:00:00Z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